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729B" w:rsidRPr="005C1E78" w:rsidRDefault="0087729B">
      <w:pPr>
        <w:rPr>
          <w:sz w:val="32"/>
          <w:szCs w:val="32"/>
        </w:rPr>
      </w:pPr>
    </w:p>
    <w:p w:rsidR="0087729B" w:rsidRPr="005C1E78" w:rsidRDefault="0087729B" w:rsidP="0087729B">
      <w:pPr>
        <w:pStyle w:val="Titre2"/>
        <w:rPr>
          <w:b/>
          <w:color w:val="EF7D59"/>
          <w:sz w:val="32"/>
          <w:szCs w:val="32"/>
        </w:rPr>
      </w:pPr>
      <w:r w:rsidRPr="00E64E7A">
        <w:rPr>
          <w:b/>
          <w:color w:val="EF7D59"/>
          <w:sz w:val="32"/>
          <w:szCs w:val="32"/>
        </w:rPr>
        <w:t>Annexe 4</w:t>
      </w:r>
      <w:r w:rsidRPr="005C1E78">
        <w:rPr>
          <w:b/>
          <w:color w:val="EF7D59"/>
          <w:sz w:val="32"/>
          <w:szCs w:val="32"/>
        </w:rPr>
        <w:t> : Lis</w:t>
      </w:r>
      <w:bookmarkStart w:id="0" w:name="_GoBack"/>
      <w:bookmarkEnd w:id="0"/>
      <w:r w:rsidRPr="005C1E78">
        <w:rPr>
          <w:b/>
          <w:color w:val="EF7D59"/>
          <w:sz w:val="32"/>
          <w:szCs w:val="32"/>
        </w:rPr>
        <w:t>te des dépenses éligibles</w:t>
      </w:r>
      <w:r w:rsidR="00F670C1" w:rsidRPr="005C1E78">
        <w:rPr>
          <w:b/>
          <w:color w:val="EF7D59"/>
          <w:sz w:val="32"/>
          <w:szCs w:val="32"/>
        </w:rPr>
        <w:t xml:space="preserve"> au titre du forfait alloué de 6000 €</w:t>
      </w:r>
    </w:p>
    <w:p w:rsidR="0087729B" w:rsidRDefault="00E64E7A" w:rsidP="0087729B">
      <w:r>
        <w:rPr>
          <w:noProof/>
        </w:rPr>
        <mc:AlternateContent>
          <mc:Choice Requires="wps">
            <w:drawing>
              <wp:anchor distT="0" distB="0" distL="114300" distR="114300" simplePos="0" relativeHeight="251659264" behindDoc="0" locked="0" layoutInCell="1" allowOverlap="1">
                <wp:simplePos x="0" y="0"/>
                <wp:positionH relativeFrom="column">
                  <wp:posOffset>36830</wp:posOffset>
                </wp:positionH>
                <wp:positionV relativeFrom="paragraph">
                  <wp:posOffset>112395</wp:posOffset>
                </wp:positionV>
                <wp:extent cx="6248400" cy="0"/>
                <wp:effectExtent l="0" t="0" r="0" b="0"/>
                <wp:wrapNone/>
                <wp:docPr id="2" name="Connecteur droit 2"/>
                <wp:cNvGraphicFramePr/>
                <a:graphic xmlns:a="http://schemas.openxmlformats.org/drawingml/2006/main">
                  <a:graphicData uri="http://schemas.microsoft.com/office/word/2010/wordprocessingShape">
                    <wps:wsp>
                      <wps:cNvCnPr/>
                      <wps:spPr>
                        <a:xfrm>
                          <a:off x="0" y="0"/>
                          <a:ext cx="6248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787741" id="Connecteur droit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9pt,8.85pt" to="494.9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" strokecolor="black [3200]" strokeweight=".5pt">
                <v:stroke joinstyle="miter"/>
              </v:line>
            </w:pict>
          </mc:Fallback>
        </mc:AlternateContent>
      </w:r>
    </w:p>
    <w:p w:rsidR="0087729B" w:rsidRPr="0087729B" w:rsidRDefault="0087729B" w:rsidP="0087729B">
      <w:pPr>
        <w:pStyle w:val="Titre3"/>
        <w:rPr>
          <w:color w:val="416584"/>
        </w:rPr>
      </w:pPr>
      <w:r w:rsidRPr="0087729B">
        <w:rPr>
          <w:color w:val="416584"/>
        </w:rPr>
        <w:t>Prestations, fournitures et consommables liés à la recherche</w:t>
      </w:r>
    </w:p>
    <w:p w:rsidR="0087729B" w:rsidRDefault="0087729B" w:rsidP="0087729B">
      <w:r>
        <w:t>Toutes les dépenses imputables à ces activités, même les prestations ou les travaux de sous-traitance, sont éligibles.</w:t>
      </w:r>
    </w:p>
    <w:p w:rsidR="00F670C1" w:rsidRDefault="0087729B" w:rsidP="0087729B">
      <w:pPr>
        <w:rPr>
          <w:rFonts w:asciiTheme="majorHAnsi" w:eastAsiaTheme="majorEastAsia" w:hAnsiTheme="majorHAnsi" w:cstheme="majorBidi"/>
          <w:color w:val="416584"/>
          <w:sz w:val="24"/>
          <w:szCs w:val="24"/>
        </w:rPr>
      </w:pPr>
      <w:r w:rsidRPr="0087729B">
        <w:rPr>
          <w:rFonts w:asciiTheme="majorHAnsi" w:eastAsiaTheme="majorEastAsia" w:hAnsiTheme="majorHAnsi" w:cstheme="majorBidi"/>
          <w:color w:val="416584"/>
          <w:sz w:val="24"/>
          <w:szCs w:val="24"/>
        </w:rPr>
        <w:t>Missions : déplacements, restauration, hébergement</w:t>
      </w:r>
    </w:p>
    <w:p w:rsidR="00F670C1" w:rsidRDefault="00F670C1" w:rsidP="0087729B">
      <w:r w:rsidRPr="00F670C1">
        <w:t xml:space="preserve">Ces dépenses devront être directement en lien avec le projet soutenu au titre de l’appel à projet Young </w:t>
      </w:r>
      <w:proofErr w:type="spellStart"/>
      <w:r w:rsidRPr="00F670C1">
        <w:t>Visiting</w:t>
      </w:r>
      <w:proofErr w:type="spellEnd"/>
      <w:r w:rsidRPr="00F670C1">
        <w:t xml:space="preserve"> Scholar.</w:t>
      </w:r>
    </w:p>
    <w:p w:rsidR="00F670C1" w:rsidRDefault="00F670C1" w:rsidP="0087729B">
      <w:pPr>
        <w:rPr>
          <w:rFonts w:asciiTheme="majorHAnsi" w:eastAsiaTheme="majorEastAsia" w:hAnsiTheme="majorHAnsi" w:cstheme="majorBidi"/>
          <w:color w:val="416584"/>
          <w:sz w:val="24"/>
          <w:szCs w:val="24"/>
        </w:rPr>
      </w:pPr>
      <w:r w:rsidRPr="00F670C1">
        <w:rPr>
          <w:rFonts w:asciiTheme="majorHAnsi" w:eastAsiaTheme="majorEastAsia" w:hAnsiTheme="majorHAnsi" w:cstheme="majorBidi"/>
          <w:color w:val="416584"/>
          <w:sz w:val="24"/>
          <w:szCs w:val="24"/>
        </w:rPr>
        <w:t>Manifestations</w:t>
      </w:r>
      <w:r>
        <w:rPr>
          <w:rFonts w:asciiTheme="majorHAnsi" w:eastAsiaTheme="majorEastAsia" w:hAnsiTheme="majorHAnsi" w:cstheme="majorBidi"/>
          <w:color w:val="416584"/>
          <w:sz w:val="24"/>
          <w:szCs w:val="24"/>
        </w:rPr>
        <w:t xml:space="preserve"> </w:t>
      </w:r>
    </w:p>
    <w:p w:rsidR="00F670C1" w:rsidRDefault="00F670C1" w:rsidP="0087729B">
      <w:r>
        <w:t xml:space="preserve">Différents types de manifestations (colloque, conférence, séminaire, workshop) peuvent être soutenus, pourvu qu’elles : </w:t>
      </w:r>
    </w:p>
    <w:p w:rsidR="00F670C1" w:rsidRPr="00F670C1" w:rsidRDefault="00F670C1" w:rsidP="00F670C1">
      <w:pPr>
        <w:pStyle w:val="Paragraphedeliste"/>
        <w:numPr>
          <w:ilvl w:val="0"/>
          <w:numId w:val="1"/>
        </w:numPr>
        <w:rPr>
          <w:rFonts w:asciiTheme="majorHAnsi" w:eastAsiaTheme="majorEastAsia" w:hAnsiTheme="majorHAnsi" w:cstheme="majorBidi"/>
          <w:color w:val="416584"/>
          <w:sz w:val="24"/>
          <w:szCs w:val="24"/>
        </w:rPr>
      </w:pPr>
      <w:proofErr w:type="gramStart"/>
      <w:r>
        <w:t>contribuent</w:t>
      </w:r>
      <w:proofErr w:type="gramEnd"/>
      <w:r>
        <w:t xml:space="preserve"> à la maturation du projet financé ;  </w:t>
      </w:r>
    </w:p>
    <w:p w:rsidR="00F670C1" w:rsidRPr="00F670C1" w:rsidRDefault="00F670C1" w:rsidP="00F670C1">
      <w:pPr>
        <w:pStyle w:val="Paragraphedeliste"/>
        <w:numPr>
          <w:ilvl w:val="0"/>
          <w:numId w:val="1"/>
        </w:numPr>
        <w:rPr>
          <w:rFonts w:asciiTheme="majorHAnsi" w:eastAsiaTheme="majorEastAsia" w:hAnsiTheme="majorHAnsi" w:cstheme="majorBidi"/>
          <w:color w:val="416584"/>
          <w:sz w:val="24"/>
          <w:szCs w:val="24"/>
        </w:rPr>
      </w:pPr>
      <w:proofErr w:type="gramStart"/>
      <w:r>
        <w:t>ou</w:t>
      </w:r>
      <w:proofErr w:type="gramEnd"/>
      <w:r>
        <w:t xml:space="preserve"> valorisent les résultats du projet. </w:t>
      </w:r>
    </w:p>
    <w:p w:rsidR="00F670C1" w:rsidRDefault="00F670C1" w:rsidP="00F670C1">
      <w:pPr>
        <w:ind w:left="50"/>
      </w:pPr>
      <w:r>
        <w:t>Les manifestations pourront se tenir dans les locaux de la MSHS de Poitiers ou bien au sein des laboratoires ou des locaux des partenaires impliqués dans l’événement. Au moins une manifestation devra se tenir dans les locaux de la MSHS de Poitiers.</w:t>
      </w:r>
    </w:p>
    <w:p w:rsidR="00F670C1" w:rsidRPr="00F670C1" w:rsidRDefault="00F670C1" w:rsidP="004614BB">
      <w:pPr>
        <w:ind w:left="50"/>
        <w:jc w:val="both"/>
        <w:rPr>
          <w:rFonts w:asciiTheme="majorHAnsi" w:eastAsiaTheme="majorEastAsia" w:hAnsiTheme="majorHAnsi" w:cstheme="majorBidi"/>
          <w:color w:val="416584"/>
          <w:sz w:val="24"/>
          <w:szCs w:val="24"/>
        </w:rPr>
      </w:pPr>
      <w:r>
        <w:t>En tant qu’Unité d’Appui et de Recherche (UAR), la MSHS de Poitiers accompagnera l’organisation des manifestations en fonction des besoins et s’adaptera dans la mesure du possible à leurs spécificités. Cet accompagnement concerne les volets communication, organisation, logistique, restauration, diffusion, valorisation, etc.</w:t>
      </w:r>
    </w:p>
    <w:p w:rsidR="00F670C1" w:rsidRDefault="00F670C1" w:rsidP="0087729B"/>
    <w:p w:rsidR="00F670C1" w:rsidRPr="00F670C1" w:rsidRDefault="00F670C1" w:rsidP="0087729B"/>
    <w:p w:rsidR="0087729B" w:rsidRDefault="0087729B"/>
    <w:p w:rsidR="0087729B" w:rsidRDefault="0087729B"/>
    <w:sectPr w:rsidR="0087729B" w:rsidSect="00DA456E">
      <w:headerReference w:type="even" r:id="rId7"/>
      <w:headerReference w:type="default" r:id="rId8"/>
      <w:footerReference w:type="even" r:id="rId9"/>
      <w:footerReference w:type="default" r:id="rId10"/>
      <w:headerReference w:type="first" r:id="rId11"/>
      <w:footerReference w:type="first" r:id="rId12"/>
      <w:pgSz w:w="11906" w:h="16838"/>
      <w:pgMar w:top="2960" w:right="992"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7FC8" w:rsidRDefault="00907FC8" w:rsidP="0087729B">
      <w:pPr>
        <w:spacing w:after="0" w:line="240" w:lineRule="auto"/>
      </w:pPr>
      <w:r>
        <w:separator/>
      </w:r>
    </w:p>
  </w:endnote>
  <w:endnote w:type="continuationSeparator" w:id="0">
    <w:p w:rsidR="00907FC8" w:rsidRDefault="00907FC8" w:rsidP="00877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5B" w:rsidRDefault="00C5745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5B" w:rsidRDefault="00C5745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5B" w:rsidRDefault="00C5745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7FC8" w:rsidRDefault="00907FC8" w:rsidP="0087729B">
      <w:pPr>
        <w:spacing w:after="0" w:line="240" w:lineRule="auto"/>
      </w:pPr>
      <w:r>
        <w:separator/>
      </w:r>
    </w:p>
  </w:footnote>
  <w:footnote w:type="continuationSeparator" w:id="0">
    <w:p w:rsidR="00907FC8" w:rsidRDefault="00907FC8" w:rsidP="008772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5B" w:rsidRDefault="00C5745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729B" w:rsidRDefault="00DA456E">
    <w:pPr>
      <w:pStyle w:val="En-tte"/>
    </w:pPr>
    <w:r>
      <w:rPr>
        <w:noProof/>
      </w:rPr>
      <w:drawing>
        <wp:anchor distT="0" distB="0" distL="114300" distR="114300" simplePos="0" relativeHeight="251658240" behindDoc="1" locked="0" layoutInCell="1" allowOverlap="1">
          <wp:simplePos x="0" y="0"/>
          <wp:positionH relativeFrom="column">
            <wp:posOffset>5033191</wp:posOffset>
          </wp:positionH>
          <wp:positionV relativeFrom="paragraph">
            <wp:posOffset>8527</wp:posOffset>
          </wp:positionV>
          <wp:extent cx="1058545" cy="1040765"/>
          <wp:effectExtent l="0" t="0" r="8255" b="6985"/>
          <wp:wrapTight wrapText="bothSides">
            <wp:wrapPolygon edited="0">
              <wp:start x="0" y="0"/>
              <wp:lineTo x="0" y="21350"/>
              <wp:lineTo x="21380" y="21350"/>
              <wp:lineTo x="21380" y="0"/>
              <wp:lineTo x="0" y="0"/>
            </wp:wrapPolygon>
          </wp:wrapTight>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CNRS_BLEU jpg.jpg"/>
                  <pic:cNvPicPr/>
                </pic:nvPicPr>
                <pic:blipFill>
                  <a:blip r:embed="rId1">
                    <a:extLst>
                      <a:ext uri="{28A0092B-C50C-407E-A947-70E740481C1C}">
                        <a14:useLocalDpi xmlns:a14="http://schemas.microsoft.com/office/drawing/2010/main" val="0"/>
                      </a:ext>
                    </a:extLst>
                  </a:blip>
                  <a:stretch>
                    <a:fillRect/>
                  </a:stretch>
                </pic:blipFill>
                <pic:spPr>
                  <a:xfrm>
                    <a:off x="0" y="0"/>
                    <a:ext cx="1058545" cy="1040765"/>
                  </a:xfrm>
                  <a:prstGeom prst="rect">
                    <a:avLst/>
                  </a:prstGeom>
                </pic:spPr>
              </pic:pic>
            </a:graphicData>
          </a:graphic>
        </wp:anchor>
      </w:drawing>
    </w:r>
    <w:r>
      <w:rPr>
        <w:noProof/>
      </w:rPr>
      <w:drawing>
        <wp:anchor distT="0" distB="0" distL="114300" distR="114300" simplePos="0" relativeHeight="251660288" behindDoc="1" locked="0" layoutInCell="1" allowOverlap="1">
          <wp:simplePos x="0" y="0"/>
          <wp:positionH relativeFrom="margin">
            <wp:posOffset>2089060</wp:posOffset>
          </wp:positionH>
          <wp:positionV relativeFrom="paragraph">
            <wp:posOffset>-385173</wp:posOffset>
          </wp:positionV>
          <wp:extent cx="2089785" cy="1477645"/>
          <wp:effectExtent l="0" t="0" r="0" b="0"/>
          <wp:wrapTight wrapText="bothSides">
            <wp:wrapPolygon edited="0">
              <wp:start x="9648" y="5012"/>
              <wp:lineTo x="8073" y="6126"/>
              <wp:lineTo x="7876" y="8633"/>
              <wp:lineTo x="8467" y="10025"/>
              <wp:lineTo x="3741" y="10303"/>
              <wp:lineTo x="3544" y="13645"/>
              <wp:lineTo x="5513" y="14480"/>
              <wp:lineTo x="5316" y="15594"/>
              <wp:lineTo x="6695" y="17265"/>
              <wp:lineTo x="15358" y="17265"/>
              <wp:lineTo x="15752" y="15316"/>
              <wp:lineTo x="16933" y="14202"/>
              <wp:lineTo x="17130" y="10860"/>
              <wp:lineTo x="13192" y="10025"/>
              <wp:lineTo x="13783" y="8354"/>
              <wp:lineTo x="13389" y="6126"/>
              <wp:lineTo x="12011" y="5012"/>
              <wp:lineTo x="9648" y="5012"/>
            </wp:wrapPolygon>
          </wp:wrapTight>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OITIERS-UNIVERSITE-CMJN-2014 (1).png"/>
                  <pic:cNvPicPr/>
                </pic:nvPicPr>
                <pic:blipFill>
                  <a:blip r:embed="rId2">
                    <a:extLst>
                      <a:ext uri="{28A0092B-C50C-407E-A947-70E740481C1C}">
                        <a14:useLocalDpi xmlns:a14="http://schemas.microsoft.com/office/drawing/2010/main" val="0"/>
                      </a:ext>
                    </a:extLst>
                  </a:blip>
                  <a:stretch>
                    <a:fillRect/>
                  </a:stretch>
                </pic:blipFill>
                <pic:spPr>
                  <a:xfrm>
                    <a:off x="0" y="0"/>
                    <a:ext cx="2089785" cy="14776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simplePos x="0" y="0"/>
          <wp:positionH relativeFrom="margin">
            <wp:posOffset>-340995</wp:posOffset>
          </wp:positionH>
          <wp:positionV relativeFrom="paragraph">
            <wp:posOffset>64588</wp:posOffset>
          </wp:positionV>
          <wp:extent cx="1907540" cy="788035"/>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mshs-sans-fond.png"/>
                  <pic:cNvPicPr/>
                </pic:nvPicPr>
                <pic:blipFill>
                  <a:blip r:embed="rId3">
                    <a:extLst>
                      <a:ext uri="{28A0092B-C50C-407E-A947-70E740481C1C}">
                        <a14:useLocalDpi xmlns:a14="http://schemas.microsoft.com/office/drawing/2010/main" val="0"/>
                      </a:ext>
                    </a:extLst>
                  </a:blip>
                  <a:stretch>
                    <a:fillRect/>
                  </a:stretch>
                </pic:blipFill>
                <pic:spPr>
                  <a:xfrm>
                    <a:off x="0" y="0"/>
                    <a:ext cx="1907540" cy="788035"/>
                  </a:xfrm>
                  <a:prstGeom prst="rect">
                    <a:avLst/>
                  </a:prstGeom>
                </pic:spPr>
              </pic:pic>
            </a:graphicData>
          </a:graphic>
        </wp:anchor>
      </w:drawing>
    </w:r>
    <w:r w:rsidR="0087729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5B" w:rsidRDefault="00C5745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F51CE4"/>
    <w:multiLevelType w:val="hybridMultilevel"/>
    <w:tmpl w:val="2938D41E"/>
    <w:lvl w:ilvl="0" w:tplc="040C000B">
      <w:start w:val="1"/>
      <w:numFmt w:val="bullet"/>
      <w:lvlText w:val=""/>
      <w:lvlJc w:val="left"/>
      <w:pPr>
        <w:ind w:left="770" w:hanging="360"/>
      </w:pPr>
      <w:rPr>
        <w:rFonts w:ascii="Wingdings" w:hAnsi="Wingdings"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29B"/>
    <w:rsid w:val="001A52E2"/>
    <w:rsid w:val="004614BB"/>
    <w:rsid w:val="005C1E78"/>
    <w:rsid w:val="005D5C48"/>
    <w:rsid w:val="00744E90"/>
    <w:rsid w:val="0087729B"/>
    <w:rsid w:val="008F3F0A"/>
    <w:rsid w:val="00907FC8"/>
    <w:rsid w:val="00920113"/>
    <w:rsid w:val="00926954"/>
    <w:rsid w:val="00C5745B"/>
    <w:rsid w:val="00D705D2"/>
    <w:rsid w:val="00DA0318"/>
    <w:rsid w:val="00DA456E"/>
    <w:rsid w:val="00E64E7A"/>
    <w:rsid w:val="00E91467"/>
    <w:rsid w:val="00EE1050"/>
    <w:rsid w:val="00EE1AF2"/>
    <w:rsid w:val="00F11B8A"/>
    <w:rsid w:val="00F670C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B459F07-4CBB-41D0-87FE-BEE1465C3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2">
    <w:name w:val="heading 2"/>
    <w:basedOn w:val="Normal"/>
    <w:next w:val="Normal"/>
    <w:link w:val="Titre2Car"/>
    <w:uiPriority w:val="9"/>
    <w:unhideWhenUsed/>
    <w:qFormat/>
    <w:rsid w:val="008772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8772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7729B"/>
    <w:pPr>
      <w:tabs>
        <w:tab w:val="center" w:pos="4536"/>
        <w:tab w:val="right" w:pos="9072"/>
      </w:tabs>
      <w:spacing w:after="0" w:line="240" w:lineRule="auto"/>
    </w:pPr>
  </w:style>
  <w:style w:type="character" w:customStyle="1" w:styleId="En-tteCar">
    <w:name w:val="En-tête Car"/>
    <w:basedOn w:val="Policepardfaut"/>
    <w:link w:val="En-tte"/>
    <w:uiPriority w:val="99"/>
    <w:rsid w:val="0087729B"/>
  </w:style>
  <w:style w:type="paragraph" w:styleId="Pieddepage">
    <w:name w:val="footer"/>
    <w:basedOn w:val="Normal"/>
    <w:link w:val="PieddepageCar"/>
    <w:uiPriority w:val="99"/>
    <w:unhideWhenUsed/>
    <w:rsid w:val="0087729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7729B"/>
  </w:style>
  <w:style w:type="character" w:customStyle="1" w:styleId="Titre2Car">
    <w:name w:val="Titre 2 Car"/>
    <w:basedOn w:val="Policepardfaut"/>
    <w:link w:val="Titre2"/>
    <w:uiPriority w:val="9"/>
    <w:rsid w:val="0087729B"/>
    <w:rPr>
      <w:rFonts w:asciiTheme="majorHAnsi" w:eastAsiaTheme="majorEastAsia" w:hAnsiTheme="majorHAnsi" w:cstheme="majorBidi"/>
      <w:color w:val="2F5496" w:themeColor="accent1" w:themeShade="BF"/>
      <w:sz w:val="26"/>
      <w:szCs w:val="26"/>
    </w:rPr>
  </w:style>
  <w:style w:type="paragraph" w:styleId="Sous-titre">
    <w:name w:val="Subtitle"/>
    <w:basedOn w:val="Normal"/>
    <w:next w:val="Normal"/>
    <w:link w:val="Sous-titreCar"/>
    <w:uiPriority w:val="11"/>
    <w:qFormat/>
    <w:rsid w:val="0087729B"/>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87729B"/>
    <w:rPr>
      <w:rFonts w:eastAsiaTheme="minorEastAsia"/>
      <w:color w:val="5A5A5A" w:themeColor="text1" w:themeTint="A5"/>
      <w:spacing w:val="15"/>
    </w:rPr>
  </w:style>
  <w:style w:type="character" w:customStyle="1" w:styleId="Titre3Car">
    <w:name w:val="Titre 3 Car"/>
    <w:basedOn w:val="Policepardfaut"/>
    <w:link w:val="Titre3"/>
    <w:uiPriority w:val="9"/>
    <w:rsid w:val="0087729B"/>
    <w:rPr>
      <w:rFonts w:asciiTheme="majorHAnsi" w:eastAsiaTheme="majorEastAsia" w:hAnsiTheme="majorHAnsi" w:cstheme="majorBidi"/>
      <w:color w:val="1F3763" w:themeColor="accent1" w:themeShade="7F"/>
      <w:sz w:val="24"/>
      <w:szCs w:val="24"/>
    </w:rPr>
  </w:style>
  <w:style w:type="paragraph" w:styleId="Paragraphedeliste">
    <w:name w:val="List Paragraph"/>
    <w:basedOn w:val="Normal"/>
    <w:uiPriority w:val="34"/>
    <w:qFormat/>
    <w:rsid w:val="00F670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1049</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dc:creator>
  <cp:keywords/>
  <dc:description/>
  <cp:lastModifiedBy>camille</cp:lastModifiedBy>
  <cp:revision>6</cp:revision>
  <cp:lastPrinted>2026-09-28T09:26:00Z</cp:lastPrinted>
  <dcterms:created xsi:type="dcterms:W3CDTF">2026-09-28T10:27:00Z</dcterms:created>
  <dcterms:modified xsi:type="dcterms:W3CDTF">2026-09-29T08:32:00Z</dcterms:modified>
</cp:coreProperties>
</file>